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7AB982F3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C02B36">
        <w:rPr>
          <w:b/>
          <w:bCs/>
          <w:sz w:val="28"/>
          <w:szCs w:val="28"/>
        </w:rPr>
        <w:t>6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494BA489" w:rsidR="00DD0E0A" w:rsidRDefault="006E005B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 депутатов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7A9F5BFE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405721">
        <w:rPr>
          <w:b/>
          <w:bCs/>
          <w:sz w:val="28"/>
          <w:szCs w:val="28"/>
        </w:rPr>
        <w:t>0</w:t>
      </w:r>
      <w:r w:rsidR="00C46AFE">
        <w:rPr>
          <w:b/>
          <w:bCs/>
          <w:sz w:val="28"/>
          <w:szCs w:val="28"/>
        </w:rPr>
        <w:t>7</w:t>
      </w:r>
      <w:r w:rsidR="00D14A97">
        <w:rPr>
          <w:b/>
          <w:bCs/>
          <w:sz w:val="28"/>
          <w:szCs w:val="28"/>
        </w:rPr>
        <w:t>.0</w:t>
      </w:r>
      <w:r w:rsidR="00C46AFE">
        <w:rPr>
          <w:b/>
          <w:bCs/>
          <w:sz w:val="28"/>
          <w:szCs w:val="28"/>
        </w:rPr>
        <w:t>9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45091F1" w:rsidR="00DD0E0A" w:rsidRPr="007076AB" w:rsidRDefault="00DD0E0A" w:rsidP="00405721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C454F2">
        <w:rPr>
          <w:sz w:val="28"/>
          <w:szCs w:val="28"/>
        </w:rPr>
        <w:t>решения Совета депутатов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</w:t>
      </w:r>
      <w:r w:rsidRPr="007076AB">
        <w:rPr>
          <w:sz w:val="28"/>
          <w:szCs w:val="28"/>
        </w:rPr>
        <w:t>и</w:t>
      </w:r>
      <w:r w:rsidRPr="007076AB">
        <w:rPr>
          <w:sz w:val="28"/>
          <w:szCs w:val="28"/>
        </w:rPr>
        <w:t>ципального образования «</w:t>
      </w:r>
      <w:proofErr w:type="spellStart"/>
      <w:r w:rsidR="00A65F86" w:rsidRPr="007076AB">
        <w:rPr>
          <w:sz w:val="28"/>
          <w:szCs w:val="28"/>
        </w:rPr>
        <w:t>Новоселкинское</w:t>
      </w:r>
      <w:proofErr w:type="spellEnd"/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</w:t>
      </w:r>
      <w:proofErr w:type="spellStart"/>
      <w:r w:rsidRPr="007076AB">
        <w:rPr>
          <w:sz w:val="28"/>
          <w:szCs w:val="28"/>
        </w:rPr>
        <w:t>Мелекесского</w:t>
      </w:r>
      <w:proofErr w:type="spellEnd"/>
      <w:r w:rsidRPr="007076AB">
        <w:rPr>
          <w:sz w:val="28"/>
          <w:szCs w:val="28"/>
        </w:rPr>
        <w:t xml:space="preserve"> района Ульяновской области </w:t>
      </w:r>
      <w:r w:rsidR="00405721" w:rsidRPr="00405721">
        <w:rPr>
          <w:sz w:val="28"/>
          <w:szCs w:val="28"/>
        </w:rPr>
        <w:t>«Об установлении налога на имущество физич</w:t>
      </w:r>
      <w:r w:rsidR="00405721" w:rsidRPr="00405721">
        <w:rPr>
          <w:sz w:val="28"/>
          <w:szCs w:val="28"/>
        </w:rPr>
        <w:t>е</w:t>
      </w:r>
      <w:r w:rsidR="00405721" w:rsidRPr="00405721">
        <w:rPr>
          <w:sz w:val="28"/>
          <w:szCs w:val="28"/>
        </w:rPr>
        <w:t>ских лиц на территории муниципального образования «</w:t>
      </w:r>
      <w:proofErr w:type="spellStart"/>
      <w:r w:rsidR="00405721" w:rsidRPr="00405721">
        <w:rPr>
          <w:sz w:val="28"/>
          <w:szCs w:val="28"/>
        </w:rPr>
        <w:t>Новоселкинское</w:t>
      </w:r>
      <w:proofErr w:type="spellEnd"/>
      <w:r w:rsidR="00405721" w:rsidRPr="00405721">
        <w:rPr>
          <w:sz w:val="28"/>
          <w:szCs w:val="28"/>
        </w:rPr>
        <w:t xml:space="preserve"> сел</w:t>
      </w:r>
      <w:r w:rsidR="00405721" w:rsidRPr="00405721">
        <w:rPr>
          <w:sz w:val="28"/>
          <w:szCs w:val="28"/>
        </w:rPr>
        <w:t>ь</w:t>
      </w:r>
      <w:r w:rsidR="00405721" w:rsidRPr="00405721">
        <w:rPr>
          <w:sz w:val="28"/>
          <w:szCs w:val="28"/>
        </w:rPr>
        <w:t xml:space="preserve">ское поселение» </w:t>
      </w:r>
      <w:proofErr w:type="spellStart"/>
      <w:r w:rsidR="00405721" w:rsidRPr="00405721">
        <w:rPr>
          <w:sz w:val="28"/>
          <w:szCs w:val="28"/>
        </w:rPr>
        <w:t>Мелекесского</w:t>
      </w:r>
      <w:proofErr w:type="spellEnd"/>
      <w:r w:rsidR="00405721" w:rsidRPr="00405721">
        <w:rPr>
          <w:sz w:val="28"/>
          <w:szCs w:val="28"/>
        </w:rPr>
        <w:t xml:space="preserve"> района</w:t>
      </w:r>
      <w:r w:rsidR="00405721">
        <w:rPr>
          <w:sz w:val="28"/>
          <w:szCs w:val="28"/>
        </w:rPr>
        <w:t xml:space="preserve"> </w:t>
      </w:r>
      <w:r w:rsidR="00405721" w:rsidRPr="00405721">
        <w:rPr>
          <w:sz w:val="28"/>
          <w:szCs w:val="28"/>
        </w:rPr>
        <w:t>Ульяно</w:t>
      </w:r>
      <w:r w:rsidR="00405721" w:rsidRPr="00405721">
        <w:rPr>
          <w:sz w:val="28"/>
          <w:szCs w:val="28"/>
        </w:rPr>
        <w:t>в</w:t>
      </w:r>
      <w:r w:rsidR="00405721" w:rsidRPr="00405721">
        <w:rPr>
          <w:sz w:val="28"/>
          <w:szCs w:val="28"/>
        </w:rPr>
        <w:t>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301ED0A0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405721" w:rsidRPr="00405721">
        <w:rPr>
          <w:bCs/>
          <w:sz w:val="28"/>
          <w:szCs w:val="28"/>
        </w:rPr>
        <w:t>специалистом по земельным отношениям и муниц</w:t>
      </w:r>
      <w:r w:rsidR="00405721" w:rsidRPr="00405721">
        <w:rPr>
          <w:bCs/>
          <w:sz w:val="28"/>
          <w:szCs w:val="28"/>
        </w:rPr>
        <w:t>и</w:t>
      </w:r>
      <w:r w:rsidR="00405721" w:rsidRPr="00405721">
        <w:rPr>
          <w:bCs/>
          <w:sz w:val="28"/>
          <w:szCs w:val="28"/>
        </w:rPr>
        <w:t>пальной собственности администрации муниципального образования «</w:t>
      </w:r>
      <w:proofErr w:type="spellStart"/>
      <w:r w:rsidR="00405721" w:rsidRPr="00405721">
        <w:rPr>
          <w:bCs/>
          <w:sz w:val="28"/>
          <w:szCs w:val="28"/>
        </w:rPr>
        <w:t>Нов</w:t>
      </w:r>
      <w:r w:rsidR="00405721" w:rsidRPr="00405721">
        <w:rPr>
          <w:bCs/>
          <w:sz w:val="28"/>
          <w:szCs w:val="28"/>
        </w:rPr>
        <w:t>о</w:t>
      </w:r>
      <w:r w:rsidR="00405721" w:rsidRPr="00405721">
        <w:rPr>
          <w:bCs/>
          <w:sz w:val="28"/>
          <w:szCs w:val="28"/>
        </w:rPr>
        <w:t>селкинское</w:t>
      </w:r>
      <w:proofErr w:type="spellEnd"/>
      <w:r w:rsidR="00405721" w:rsidRPr="00405721">
        <w:rPr>
          <w:bCs/>
          <w:sz w:val="28"/>
          <w:szCs w:val="28"/>
        </w:rPr>
        <w:t xml:space="preserve"> сельское поселение» </w:t>
      </w:r>
      <w:proofErr w:type="spellStart"/>
      <w:r w:rsidR="00405721" w:rsidRPr="00405721">
        <w:rPr>
          <w:bCs/>
          <w:sz w:val="28"/>
          <w:szCs w:val="28"/>
        </w:rPr>
        <w:t>Мелекесского</w:t>
      </w:r>
      <w:proofErr w:type="spellEnd"/>
      <w:r w:rsidR="00405721" w:rsidRPr="00405721">
        <w:rPr>
          <w:bCs/>
          <w:sz w:val="28"/>
          <w:szCs w:val="28"/>
        </w:rPr>
        <w:t xml:space="preserve"> района Ульяновской области</w:t>
      </w:r>
      <w:r>
        <w:rPr>
          <w:bCs/>
          <w:sz w:val="28"/>
          <w:szCs w:val="28"/>
        </w:rPr>
        <w:t>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45DF1A80" w14:textId="4C231947" w:rsidR="00CF6EB1" w:rsidRPr="00801B25" w:rsidRDefault="00DD0E0A" w:rsidP="00EE43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C454F2">
        <w:rPr>
          <w:bCs/>
          <w:sz w:val="28"/>
          <w:szCs w:val="28"/>
        </w:rPr>
        <w:t>н</w:t>
      </w:r>
      <w:r w:rsidR="00C454F2" w:rsidRPr="00C454F2">
        <w:rPr>
          <w:sz w:val="28"/>
          <w:szCs w:val="28"/>
        </w:rPr>
        <w:t>а</w:t>
      </w:r>
      <w:r w:rsidR="00C46AFE">
        <w:rPr>
          <w:sz w:val="28"/>
          <w:szCs w:val="28"/>
        </w:rPr>
        <w:t xml:space="preserve"> основании главы 32 Налогового кодекса Росси</w:t>
      </w:r>
      <w:r w:rsidR="00C46AFE">
        <w:rPr>
          <w:sz w:val="28"/>
          <w:szCs w:val="28"/>
        </w:rPr>
        <w:t>й</w:t>
      </w:r>
      <w:r w:rsidR="00C46AFE">
        <w:rPr>
          <w:sz w:val="28"/>
          <w:szCs w:val="28"/>
        </w:rPr>
        <w:t xml:space="preserve">ской Федерации, Федерального закона </w:t>
      </w:r>
      <w:r w:rsidR="00405721" w:rsidRPr="00405721">
        <w:rPr>
          <w:sz w:val="28"/>
          <w:szCs w:val="28"/>
        </w:rPr>
        <w:t xml:space="preserve">от 29.09.2019 N 321-ФЗ </w:t>
      </w:r>
      <w:r w:rsidR="00405721">
        <w:rPr>
          <w:sz w:val="28"/>
          <w:szCs w:val="28"/>
        </w:rPr>
        <w:t>«</w:t>
      </w:r>
      <w:r w:rsidR="00405721" w:rsidRPr="00405721">
        <w:rPr>
          <w:sz w:val="28"/>
          <w:szCs w:val="28"/>
        </w:rPr>
        <w:t>О внесении и</w:t>
      </w:r>
      <w:r w:rsidR="00405721" w:rsidRPr="00405721">
        <w:rPr>
          <w:sz w:val="28"/>
          <w:szCs w:val="28"/>
        </w:rPr>
        <w:t>з</w:t>
      </w:r>
      <w:r w:rsidR="00405721" w:rsidRPr="00405721">
        <w:rPr>
          <w:sz w:val="28"/>
          <w:szCs w:val="28"/>
        </w:rPr>
        <w:t>менений в часть вторую Налогового кодекса Российской Федерации</w:t>
      </w:r>
      <w:r w:rsidR="00405721">
        <w:rPr>
          <w:sz w:val="28"/>
          <w:szCs w:val="28"/>
        </w:rPr>
        <w:t>», в целях приведения в соответствии с требованиями действ</w:t>
      </w:r>
      <w:r w:rsidR="00405721">
        <w:rPr>
          <w:sz w:val="28"/>
          <w:szCs w:val="28"/>
        </w:rPr>
        <w:t>у</w:t>
      </w:r>
      <w:r w:rsidR="00405721">
        <w:rPr>
          <w:sz w:val="28"/>
          <w:szCs w:val="28"/>
        </w:rPr>
        <w:t>ющего законодательства.</w:t>
      </w:r>
    </w:p>
    <w:p w14:paraId="1B087BD7" w14:textId="083BB674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C454F2">
        <w:rPr>
          <w:sz w:val="28"/>
          <w:szCs w:val="28"/>
        </w:rPr>
        <w:t>С</w:t>
      </w:r>
      <w:r w:rsidR="00C454F2">
        <w:rPr>
          <w:sz w:val="28"/>
          <w:szCs w:val="28"/>
        </w:rPr>
        <w:t>о</w:t>
      </w:r>
      <w:r w:rsidR="00C454F2">
        <w:rPr>
          <w:sz w:val="28"/>
          <w:szCs w:val="28"/>
        </w:rPr>
        <w:t>вета депутатов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</w:t>
      </w:r>
      <w:proofErr w:type="spellStart"/>
      <w:r w:rsidR="00AA24AE">
        <w:rPr>
          <w:sz w:val="28"/>
          <w:szCs w:val="28"/>
        </w:rPr>
        <w:t>Новоселкинское</w:t>
      </w:r>
      <w:proofErr w:type="spellEnd"/>
      <w:r w:rsidR="00AA24AE">
        <w:rPr>
          <w:sz w:val="28"/>
          <w:szCs w:val="28"/>
        </w:rPr>
        <w:t xml:space="preserve"> сельское пос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 xml:space="preserve">ление» </w:t>
      </w:r>
      <w:proofErr w:type="spellStart"/>
      <w:r w:rsidR="00AA24AE">
        <w:rPr>
          <w:sz w:val="28"/>
          <w:szCs w:val="28"/>
        </w:rPr>
        <w:t>Мелекесского</w:t>
      </w:r>
      <w:proofErr w:type="spellEnd"/>
      <w:r w:rsidR="00AA24AE">
        <w:rPr>
          <w:sz w:val="28"/>
          <w:szCs w:val="28"/>
        </w:rPr>
        <w:t xml:space="preserve"> района Ульяновской области</w:t>
      </w:r>
      <w:r w:rsidR="0068538E">
        <w:rPr>
          <w:sz w:val="28"/>
          <w:szCs w:val="28"/>
        </w:rPr>
        <w:t>.</w:t>
      </w: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405721"/>
    <w:rsid w:val="004149F1"/>
    <w:rsid w:val="00427CD5"/>
    <w:rsid w:val="004372C7"/>
    <w:rsid w:val="00437589"/>
    <w:rsid w:val="00450115"/>
    <w:rsid w:val="004A3361"/>
    <w:rsid w:val="004A3396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6E005B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14D0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2B36"/>
    <w:rsid w:val="00C03164"/>
    <w:rsid w:val="00C03A36"/>
    <w:rsid w:val="00C17A8A"/>
    <w:rsid w:val="00C30D5F"/>
    <w:rsid w:val="00C454F2"/>
    <w:rsid w:val="00C46AFE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Admin</cp:lastModifiedBy>
  <cp:revision>4</cp:revision>
  <cp:lastPrinted>2020-09-07T04:40:00Z</cp:lastPrinted>
  <dcterms:created xsi:type="dcterms:W3CDTF">2020-09-07T04:37:00Z</dcterms:created>
  <dcterms:modified xsi:type="dcterms:W3CDTF">2020-09-07T04:40:00Z</dcterms:modified>
</cp:coreProperties>
</file>