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49383D1E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753502">
        <w:rPr>
          <w:b/>
          <w:bCs/>
          <w:sz w:val="28"/>
          <w:szCs w:val="28"/>
        </w:rPr>
        <w:t>2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E92A9DC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753502" w:rsidRPr="00753502">
        <w:rPr>
          <w:sz w:val="28"/>
          <w:szCs w:val="28"/>
        </w:rPr>
        <w:t>Об утверждении Положения о порядке проведения антикоррупционной экспертизы муниципальных нормативных пр</w:t>
      </w:r>
      <w:r w:rsidR="00753502" w:rsidRPr="00753502">
        <w:rPr>
          <w:sz w:val="28"/>
          <w:szCs w:val="28"/>
        </w:rPr>
        <w:t>а</w:t>
      </w:r>
      <w:r w:rsidR="00753502" w:rsidRPr="00753502">
        <w:rPr>
          <w:sz w:val="28"/>
          <w:szCs w:val="28"/>
        </w:rPr>
        <w:t>вовых актов и проектов муниципальных нормативных правовых актов админ</w:t>
      </w:r>
      <w:r w:rsidR="00753502" w:rsidRPr="00753502">
        <w:rPr>
          <w:sz w:val="28"/>
          <w:szCs w:val="28"/>
        </w:rPr>
        <w:t>и</w:t>
      </w:r>
      <w:r w:rsidR="00753502" w:rsidRPr="00753502">
        <w:rPr>
          <w:sz w:val="28"/>
          <w:szCs w:val="28"/>
        </w:rPr>
        <w:t>страции муниципального образования «</w:t>
      </w:r>
      <w:proofErr w:type="spellStart"/>
      <w:r w:rsidR="00753502" w:rsidRPr="00753502">
        <w:rPr>
          <w:sz w:val="28"/>
          <w:szCs w:val="28"/>
        </w:rPr>
        <w:t>Новоселкинское</w:t>
      </w:r>
      <w:proofErr w:type="spellEnd"/>
      <w:r w:rsidR="00753502" w:rsidRPr="00753502">
        <w:rPr>
          <w:sz w:val="28"/>
          <w:szCs w:val="28"/>
        </w:rPr>
        <w:t xml:space="preserve"> сельское поселение» </w:t>
      </w:r>
      <w:proofErr w:type="spellStart"/>
      <w:r w:rsidR="00753502" w:rsidRPr="00753502">
        <w:rPr>
          <w:sz w:val="28"/>
          <w:szCs w:val="28"/>
        </w:rPr>
        <w:t>Мелекесского</w:t>
      </w:r>
      <w:proofErr w:type="spellEnd"/>
      <w:r w:rsidR="00753502" w:rsidRPr="00753502">
        <w:rPr>
          <w:sz w:val="28"/>
          <w:szCs w:val="28"/>
        </w:rPr>
        <w:t xml:space="preserve"> района Ульяновской области</w:t>
      </w:r>
      <w:r w:rsidR="002A795F" w:rsidRPr="002A795F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46C2FF50" w:rsidR="00EC08A3" w:rsidRDefault="00DD0E0A" w:rsidP="00EE431A">
      <w:pPr>
        <w:ind w:firstLine="709"/>
        <w:jc w:val="both"/>
        <w:rPr>
          <w:sz w:val="28"/>
          <w:szCs w:val="28"/>
        </w:rPr>
      </w:pPr>
      <w:proofErr w:type="gramStart"/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соответствии </w:t>
      </w:r>
      <w:r w:rsidR="00EC08A3" w:rsidRPr="00EC08A3">
        <w:rPr>
          <w:sz w:val="28"/>
          <w:szCs w:val="28"/>
        </w:rPr>
        <w:t xml:space="preserve">с </w:t>
      </w:r>
      <w:r w:rsidR="0017267D" w:rsidRPr="0017267D">
        <w:rPr>
          <w:sz w:val="28"/>
          <w:szCs w:val="28"/>
        </w:rPr>
        <w:t>федеральными законами от 25.12.2008 N 273-ФЗ "О противодействии коррупции",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</w:t>
      </w:r>
      <w:r w:rsidR="0017267D" w:rsidRPr="0017267D">
        <w:rPr>
          <w:sz w:val="28"/>
          <w:szCs w:val="28"/>
        </w:rPr>
        <w:t>в</w:t>
      </w:r>
      <w:r w:rsidR="0017267D" w:rsidRPr="0017267D">
        <w:rPr>
          <w:sz w:val="28"/>
          <w:szCs w:val="28"/>
        </w:rPr>
        <w:t>ных правовых актов и проектов нормативных право</w:t>
      </w:r>
      <w:bookmarkStart w:id="0" w:name="_GoBack"/>
      <w:bookmarkEnd w:id="0"/>
      <w:r w:rsidR="0017267D" w:rsidRPr="0017267D">
        <w:rPr>
          <w:sz w:val="28"/>
          <w:szCs w:val="28"/>
        </w:rPr>
        <w:t>вых актов", в целях созд</w:t>
      </w:r>
      <w:r w:rsidR="0017267D" w:rsidRPr="0017267D">
        <w:rPr>
          <w:sz w:val="28"/>
          <w:szCs w:val="28"/>
        </w:rPr>
        <w:t>а</w:t>
      </w:r>
      <w:r w:rsidR="0017267D" w:rsidRPr="0017267D">
        <w:rPr>
          <w:sz w:val="28"/>
          <w:szCs w:val="28"/>
        </w:rPr>
        <w:lastRenderedPageBreak/>
        <w:t>ния механизма по противодействию коррупции, совершенствования правового регулирования, защиты прав</w:t>
      </w:r>
      <w:proofErr w:type="gramEnd"/>
      <w:r w:rsidR="0017267D" w:rsidRPr="0017267D">
        <w:rPr>
          <w:sz w:val="28"/>
          <w:szCs w:val="28"/>
        </w:rPr>
        <w:t xml:space="preserve"> и законных интересов граждан</w:t>
      </w:r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3</cp:revision>
  <cp:lastPrinted>2021-01-28T07:14:00Z</cp:lastPrinted>
  <dcterms:created xsi:type="dcterms:W3CDTF">2021-01-28T07:10:00Z</dcterms:created>
  <dcterms:modified xsi:type="dcterms:W3CDTF">2021-01-28T07:15:00Z</dcterms:modified>
</cp:coreProperties>
</file>